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Извещение и порядок открытого конкурса на аудит за 2027 год</w:t>
      </w:r>
    </w:p>
    <w:p>
      <w:pPr>
        <w:keepLines/>
      </w:pPr>
      <w:r>
        <w:rPr>
          <w:b w:val="0"/>
        </w:rPr>
        <w:t>ООО «БЭЛТИ-ГРАНД» · ИНН 7728192413 · редакция 28 октября 2026 года</w:t>
      </w:r>
    </w:p>
    <w:p>
      <w:pPr>
        <w:pStyle w:val="Heading1"/>
      </w:pPr>
      <w:r>
        <w:t>1 Предмет и календарь</w:t>
      </w:r>
    </w:p>
    <w:p>
      <w:pPr>
        <w:keepLines/>
      </w:pPr>
      <w:r>
        <w:rPr>
          <w:b w:val="0"/>
        </w:rPr>
        <w:t>Общество с ограниченной ответственностью «БЭЛТИ-ГРАНД», ОГРН 1027739747122, объявляет открытый конкурс на право заключения договора обязательного аудита годовой бухгалтерской (финансовой) отчетности за период с 01.01.2027 по 31.12.2027 по российским правилам учета. К Обществу не применяются 44-ФЗ и 223-ФЗ. Основание — часть 4 статьи 5.1 закона № 307-ФЗ, Порядок, утвержденный общим собранием участников (протокол № 242 от 28.10.2026).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791"/>
        <w:gridCol w:w="4791"/>
      </w:tblGrid>
      <w:tr>
        <w:trPr>
          <w:cantSplit/>
          <w:tblHeader/>
        </w:trPr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Условие</w:t>
            </w:r>
          </w:p>
        </w:tc>
        <w:tc>
          <w:tcPr>
            <w:tcW w:type="dxa" w:w="68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Содержание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Организатор и связь</w:t>
            </w:r>
          </w:p>
        </w:tc>
        <w:tc>
          <w:tcPr>
            <w:tcW w:type="dxa" w:w="68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117593, Москва, Литовский б-р, д. 9/7. Место проведения: Москва, Алтуфьевское ш., д. 44, офис 607. Заявки и вопросы: info@balti.ru; телефон +7 (495) 744-33-88.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Официальное размещение</w:t>
            </w:r>
          </w:p>
        </w:tc>
        <w:tc>
          <w:tcPr>
            <w:tcW w:type="dxa" w:w="68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Дата — 29.10.2026; страница https://balti.ru/investoram/konkurs-audit-2027/ Все изменения и обезличенные разъяснения размещаются там же.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Прием заявок</w:t>
            </w:r>
          </w:p>
        </w:tc>
        <w:tc>
          <w:tcPr>
            <w:tcW w:type="dxa" w:w="68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С 09:00 29.10.2026 до 18:00 29.11.2026, московское время. При переносе размещения календарь изменяется с сохранением не менее 30 дней до конкурса.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Подведение итогов</w:t>
            </w:r>
          </w:p>
        </w:tc>
        <w:tc>
          <w:tcPr>
            <w:tcW w:type="dxa" w:w="68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30.11.2026; публикация сообщения об итогах не позднее 01.12.2026 на странице конкурса.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Предельная цена</w:t>
            </w:r>
          </w:p>
        </w:tc>
        <w:tc>
          <w:tcPr>
            <w:tcW w:type="dxa" w:w="68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1 000 000 рублей, включая все применимые налоги, командировочные и другие расходы. Цена в заявке фиксированная и полная. Превышение предела — основание недопуска.</w:t>
            </w:r>
          </w:p>
        </w:tc>
      </w:tr>
      <w:tr>
        <w:trPr>
          <w:cantSplit/>
        </w:trPr>
        <w:tc>
          <w:tcPr>
            <w:tcW w:type="dxa" w:w="2211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Срок действия заявки</w:t>
            </w:r>
          </w:p>
        </w:tc>
        <w:tc>
          <w:tcPr>
            <w:tcW w:type="dxa" w:w="686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До 30.06.2027 включительно; назначение аудитора и размер оплаты выносятся на годовое общее собрание участников в 2027 году.</w:t>
            </w:r>
          </w:p>
        </w:tc>
      </w:tr>
    </w:tbl>
    <w:p>
      <w:pPr>
        <w:keepLines/>
      </w:pPr>
      <w:r>
        <w:rPr>
          <w:b w:val="0"/>
        </w:rPr>
        <w:t>Заявки принимаются по электронной почте ежедневно, в том числе в выходные дни. Окончание приема установлено именно на 29.11.2026 в 18:00 МСК, несмотря на то, что это воскресенье. Организатор обеспечивает работу указанного почтового адреса в этот день; личная передача бумажной заявки не требуется.</w:t>
      </w:r>
    </w:p>
    <w:p>
      <w:pPr>
        <w:pStyle w:val="Heading1"/>
      </w:pPr>
      <w:r>
        <w:t>2 Задание и результат</w:t>
      </w:r>
    </w:p>
    <w:p>
      <w:pPr>
        <w:keepLines/>
      </w:pPr>
      <w:r>
        <w:rPr>
          <w:b w:val="0"/>
        </w:rPr>
        <w:t>Предмет ограничен годовой отчетностью самого Общества по российским правилам учета; МСФО, дочерние общества и налоговое консультирование не включены. Аудит выполняется по закону № 307-ФЗ и применимым международным стандартам аудита. Аудиторское мнение определяется независимо.</w:t>
      </w:r>
    </w:p>
    <w:p>
      <w:pPr>
        <w:keepLines/>
      </w:pPr>
      <w:r>
        <w:rPr>
          <w:b w:val="0"/>
        </w:rPr>
        <w:t>Плановые этапы: предварительные процедуры — сентябрь–ноябрь 2027 года; годовой аудит — январь–март 2028 года. Итог — аудиторское заключение и письменная информация руководству о значимых вопросах и недостатках контроля не позднее 31.03.2028. Общество предоставляет полный комплект отчетности и согласованные документы до 01.03.2028. Изменение графика вследствие документально подтвержденной задержки исходных данных оформляется письменно с соблюдением обязательных сроков раскрытия.</w:t>
      </w:r>
    </w:p>
    <w:p>
      <w:pPr>
        <w:keepLines/>
      </w:pPr>
      <w:r>
        <w:rPr>
          <w:b w:val="0"/>
        </w:rPr>
        <w:t>В плане учитываются договоры и предметы лизинга, возвраты, дебиторская задолженность, обесценение, финансирование и облигации, связанные стороны и непрерывность деятельности. Заказчик передает сведения по защищенному согласованному каналу. Сведения для расчета трудоемкости предоставляются по запросу; ответы, влияющие на подготовку заявок, публикуются для всех без раскрытия защищаемых данных.</w:t>
      </w:r>
    </w:p>
    <w:p>
      <w:pPr>
        <w:pStyle w:val="Heading1"/>
        <w:pageBreakBefore/>
      </w:pPr>
      <w:r>
        <w:t>3 Участие и работа комиссии</w:t>
      </w:r>
    </w:p>
    <w:p>
      <w:pPr>
        <w:keepLines/>
      </w:pPr>
      <w:r>
        <w:rPr>
          <w:b w:val="0"/>
        </w:rPr>
        <w:t>Участие бесплатно и доступно любой организации, соответствующей требованиям. Обязательны членство в СРО аудиторов, действующая запись в реестре Банка России для ОЗОФР, независимость по статье 8 закона № 307-ФЗ и соответствие руководителя аудита статье 5.2. Статус проверяется комиссией при допуске и перед заключением договора; документы должны быть достоверными.</w:t>
      </w:r>
    </w:p>
    <w:p>
      <w:pPr>
        <w:keepLines/>
      </w:pPr>
      <w:r>
        <w:rPr>
          <w:b w:val="0"/>
        </w:rPr>
        <w:t>Подать подписанную заявку в PDF и приложения на info@balti.ru с темой «Конкурс аудит 2027 — наименование участника». Дополнительно допускаются редактируемые копии. Можно использовать опубликованную форму либо собственную, сохранив все запрошенные сведения. Получение регистрируется по дате и времени письма; подтверждается ответом. До окончания приема можно отозвать либо заменить заявку.</w:t>
      </w:r>
    </w:p>
    <w:p>
      <w:pPr>
        <w:keepLines/>
      </w:pPr>
      <w:r>
        <w:rPr>
          <w:b w:val="0"/>
        </w:rPr>
        <w:t>Заявка содержит реквизиты и полномочия подписанта, подтверждения допуска и независимости, цену и график оплаты, команду и график работ, ответы на четыре вопроса формы заявки, сведения об опыте в лизинге и результатах внешнего контроля в допустимом объеме, а также договорное предложение. Отсутствие сведений для качественной оценки дает 0 по соответствующей части; отсутствие подтверждения обязательного требования препятствует допуску.</w:t>
      </w:r>
    </w:p>
    <w:p>
      <w:pPr>
        <w:keepLines/>
      </w:pPr>
      <w:r>
        <w:rPr>
          <w:b w:val="0"/>
        </w:rPr>
        <w:t>Комиссия: Добринский Кирилл Владимирович и Добринская Светлана Александровна. Каждый независимо оценивает все допущенные заявки. Связь с участником раскрывается до рассмотрения; при конфликте интересов состав заменяется организатором до оценки всех заявок. После замены состав оценщиков должен оставаться одинаковым для всех. Комиссия оформляет допуск, индивидуальные оценки, расчет и итоговый протокол; назначение аудитора общим собранием не заменяется результатом конкурса.</w:t>
      </w:r>
    </w:p>
    <w:p>
      <w:pPr>
        <w:keepLines/>
      </w:pPr>
      <w:r>
        <w:rPr>
          <w:b w:val="0"/>
        </w:rPr>
        <w:t>Вопросы принимаются до 18:00 23.11.2026; ответ публикуется в течение двух рабочих дней, не позднее 25.11.2026. Изменения публикуются до окончания приема с продлением срока не менее чем на пять рабочих дней после публикации существенных изменений. Разъяснения и уточнения не позволяют менять цену, объем, график оплаты и другие существенные условия заявки после срока приема.</w:t>
      </w:r>
    </w:p>
    <w:p>
      <w:pPr>
        <w:keepLines/>
      </w:pPr>
      <w:r>
        <w:rPr>
          <w:b w:val="0"/>
        </w:rPr>
        <w:t>Основания недопуска: опоздание, отсутствие подписи или полномочий, несоответствие обязательным требованиям или заданию, цена выше предела, существенные недостоверные сведения. Решение мотивируется. При отсутствии допущенных заявок либо одном допущенном участнике конкурс признается несостоявшимся, оформляется протокол и организуется повторный конкурс; автоматического победителя нет.</w:t>
      </w:r>
    </w:p>
    <w:p>
      <w:pPr>
        <w:pStyle w:val="Heading1"/>
      </w:pPr>
      <w:r>
        <w:t>4 Договорные предложения и оплата</w:t>
      </w:r>
    </w:p>
    <w:p>
      <w:pPr>
        <w:keepLines/>
      </w:pPr>
      <w:r>
        <w:rPr>
          <w:b w:val="0"/>
        </w:rPr>
        <w:t>Участник вправе принять базовый проект, предложить правки либо собственный полный договор со всеми приложениями и таблицей отличий по разделу 5 формы заявки. Форма документа сама по себе не влияет на баллы. Обязательны предмет, результаты и предельный срок задания; полная фиксированная цена в пределах бюджета; конкретный график оплаты; право оказывать услуги ОЗОФР и независимость; аудиторская тайна и право Общества на обязательное раскрытие отчетности и заключения. По остальным условиям допустимы предложения, учитываемые при оценке.</w:t>
      </w:r>
    </w:p>
    <w:p>
      <w:pPr>
        <w:keepLines/>
      </w:pPr>
      <w:r>
        <w:rPr>
          <w:b w:val="0"/>
        </w:rPr>
        <w:t>График оплаты предлагает участник: аванс от 0 до 100%, промежуточные и окончательный платежи, суммы, события и сроки. Обязательного соотношения 30/70 нет. Сумма фактических платежей равна 100% цены; аванс засчитывается, повторно не начисляется. Неопределенные условия «согласуем после победы» не заменяют конкретное предложение. Все существенные отличия, включая ограничения ответственности и автоматическую приемку, раскрываются до окончания приема. Оцененная редакция и условия победителя фиксируются в итоговом протоколе и сохраняются при подписании договора после корпоративного назначения; техническое заполнение реквизитов допускается.</w:t>
      </w:r>
    </w:p>
    <w:p>
      <w:pPr>
        <w:pStyle w:val="Heading1"/>
        <w:pageBreakBefore/>
      </w:pPr>
      <w:r>
        <w:t>5 Методика оценки и определение победителя</w:t>
      </w:r>
    </w:p>
    <w:p>
      <w:pPr>
        <w:keepLines/>
      </w:pPr>
      <w:r>
        <w:rPr>
          <w:b w:val="0"/>
        </w:rPr>
        <w:t>Максимум — 100 баллов: цена 40, качество и договорные условия 60. Обязательные требования — условия допуска, отдельно баллы за их выполнение не начисляются. RAEX и размер выручки не являются самостоятельными критериями.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94"/>
        <w:gridCol w:w="3194"/>
        <w:gridCol w:w="3194"/>
      </w:tblGrid>
      <w:tr>
        <w:trPr>
          <w:cantSplit/>
          <w:tblHeader/>
        </w:trPr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Критерий</w:t>
            </w:r>
          </w:p>
        </w:tc>
        <w:tc>
          <w:tcPr>
            <w:tcW w:type="dxa" w:w="73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Вес</w:t>
            </w:r>
          </w:p>
        </w:tc>
        <w:tc>
          <w:tcPr>
            <w:tcW w:type="dxa" w:w="618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shd w:fill="E9EEF3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keepNext/>
              <w:spacing w:after="0" w:line="259" w:lineRule="auto"/>
            </w:pPr>
            <w:r>
              <w:rPr>
                <w:rFonts w:ascii="Arial" w:hAnsi="Arial"/>
                <w:b/>
                <w:sz w:val="17"/>
              </w:rPr>
              <w:t>Что оценивается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Полная цена</w:t>
            </w:r>
          </w:p>
        </w:tc>
        <w:tc>
          <w:tcPr>
            <w:tcW w:type="dxa" w:w="73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40</w:t>
            </w:r>
          </w:p>
        </w:tc>
        <w:tc>
          <w:tcPr>
            <w:tcW w:type="dxa" w:w="618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40 × минимальная полная цена допущенной заявки / полная цена оцениваемой заявки. Цена должна быть положительной; все налоги и расходы включены.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Организация взаимодействия</w:t>
            </w:r>
          </w:p>
        </w:tc>
        <w:tc>
          <w:tcPr>
            <w:tcW w:type="dxa" w:w="73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20</w:t>
            </w:r>
          </w:p>
        </w:tc>
        <w:tc>
          <w:tcPr>
            <w:tcW w:type="dxa" w:w="618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Полнота ответов; закрепленный координатор и руководитель; конкретные сроки ответа; порядок запроса документов и обсуждения замечаний; разрешение рабочих разногласий.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Понимание лизинга</w:t>
            </w:r>
          </w:p>
        </w:tc>
        <w:tc>
          <w:tcPr>
            <w:tcW w:type="dxa" w:w="73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15</w:t>
            </w:r>
          </w:p>
        </w:tc>
        <w:tc>
          <w:tcPr>
            <w:tcW w:type="dxa" w:w="618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Конкретность подхода к лизингу, возвратам, обесценению, задолженности, финансированию и облигациям; обоснованные процедуры и необходимые документы.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План и команда</w:t>
            </w:r>
          </w:p>
        </w:tc>
        <w:tc>
          <w:tcPr>
            <w:tcW w:type="dxa" w:w="73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15</w:t>
            </w:r>
          </w:p>
        </w:tc>
        <w:tc>
          <w:tcPr>
            <w:tcW w:type="dxa" w:w="618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Доступность и опыт заявленной команды, роли и загрузка, этапы и даты, резерв замены, выполнимость срока завершения.</w:t>
            </w:r>
          </w:p>
        </w:tc>
      </w:tr>
      <w:tr>
        <w:trPr>
          <w:cantSplit/>
        </w:trPr>
        <w:tc>
          <w:tcPr>
            <w:tcW w:type="dxa" w:w="2154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Условия договора</w:t>
            </w:r>
          </w:p>
        </w:tc>
        <w:tc>
          <w:tcPr>
            <w:tcW w:type="dxa" w:w="737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10</w:t>
            </w:r>
          </w:p>
        </w:tc>
        <w:tc>
          <w:tcPr>
            <w:tcW w:type="dxa" w:w="6180"/>
            <w:vAlign w:val="center"/>
            <w:tcMar>
              <w:top w:w="90" w:type="dxa"/>
              <w:left w:w="90" w:type="dxa"/>
              <w:bottom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7"/>
              </w:rPr>
              <w:t>Определенность объема и цены, оснований доплат, приемки, ответственности, прекращения и возврата аванса; меньший аванс, большая доля после приемки и разумный срок платежа предпочтительны. Оценивается совокупность условий; отсутствие аванса не гарантирует максимума.</w:t>
            </w:r>
          </w:p>
        </w:tc>
      </w:tr>
    </w:tbl>
    <w:p>
      <w:pPr>
        <w:keepLines/>
      </w:pPr>
      <w:r>
        <w:rPr>
          <w:b w:val="0"/>
        </w:rPr>
        <w:t>По каждому из четырех качественных критериев каждый член комиссии выставляет целую оценку 0–5, указывая мотив и ссылку на заявку или зафиксированный ответ. Единая шкала: 0 — сведений нет; 1 — формальный ответ, существенные противоречия; 2 — частичный ответ с существенными пробелами; 3 — работоспособное предложение, основные вопросы раскрыты общо; 4 — конкретное и подтвержденное предложение, остались некритичные детали; 5 — полное, конкретное и подтвержденное предложение с выполнимыми условиями по всем элементам критерия.</w:t>
      </w:r>
    </w:p>
    <w:p>
      <w:pPr>
        <w:keepLines/>
      </w:pPr>
      <w:r>
        <w:rPr>
          <w:b w:val="0"/>
        </w:rPr>
        <w:t>Балл качества по критерию = его вес × среднее индивидуальных оценок / 5. Итог = балл цены + четыре балла качества. Промежуточное округление не применяется; итог округляется до 0,01 балла. Материалы оценки сохраняются. Комиссия не вправе вводить новые критерии и выбирать участника с меньшим итогом общим голосованием.</w:t>
      </w:r>
    </w:p>
    <w:p>
      <w:pPr>
        <w:keepLines/>
      </w:pPr>
      <w:r>
        <w:rPr>
          <w:b w:val="0"/>
        </w:rPr>
        <w:t>Ответы на четыре вопроса публикуемой формы подаются вместе с заявкой. Оценка проводится по письменным материалам; дополнительное собеседование для получения баллов не требуется. Комиссия вправе проверить или уточнить уже представленные сведения на одинаковых условиях для сопоставимых случаев, без изменения существа заявки. Пояснения фиксируются. Форма собственного договора и число отличий не дают штрафа: оцениваются последствия конкретных условий.</w:t>
      </w:r>
    </w:p>
    <w:p>
      <w:pPr>
        <w:keepLines/>
      </w:pPr>
      <w:r>
        <w:rPr>
          <w:b w:val="0"/>
        </w:rPr>
        <w:t>Побеждает участник с наибольшим итоговым баллом. При равенстве — больший балл качества, затем меньшая полная цена, затем более раннее поступление последней действующей версии заявки. При полном совпадении времени применяется открытая жеребьевка с фиксацией процедуры и результата в протоколе. Решение комиссии оформляется подписанным обоими членами протоколом; арифметические ошибки исправляются с объяснением, оценки не меняются для подгонки результата.</w:t>
      </w:r>
    </w:p>
    <w:p>
      <w:pPr>
        <w:keepLines/>
      </w:pPr>
      <w:r>
        <w:rPr>
          <w:b w:val="0"/>
        </w:rPr>
        <w:t>Публикуются наименование, ИНН/ОГРН победителя, дата и номер протокола, итоговые баллы и порядок дальнейшего назначения. Заявки, коммерческие условия других участников, индивидуальные листы и персональные данные публично не размещаются. Организатор хранит документы и подтверждения публикаций не менее пяти лет.</w:t>
      </w:r>
    </w:p>
    <w:sectPr w:rsidR="00FC693F" w:rsidRPr="0006063C" w:rsidSect="00034616">
      <w:footerReference w:type="default" r:id="rId9"/>
      <w:pgSz w:w="11906" w:h="16838"/>
      <w:pgMar w:top="1077" w:right="1020" w:bottom="102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БЭЛТИ-ГРАНД · аудит 2027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 w:eastAsia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2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 w:eastAsia="Arial"/>
      <w:i/>
      <w:iCs/>
      <w:color w:val="000000"/>
      <w:spacing w:val="15"/>
      <w:sz w:val="19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и порядок открытого конкурса на аудит за 2027 год</dc:title>
  <dc:subject/>
  <dc:creator>ООО «БЭЛТИ-ГРАНД»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