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Приложение к документации открытого конкурса</w:t>
      </w:r>
    </w:p>
    <w:p>
      <w:pPr>
        <w:pStyle w:val="Title"/>
      </w:pPr>
      <w:r>
        <w:t>Проект договора на обязательный аудит отчетности за 2027 год</w:t>
      </w:r>
    </w:p>
    <w:p>
      <w:pPr>
        <w:keepLines/>
      </w:pPr>
      <w:r>
        <w:t>ООО «БЭЛТИ-ГРАНД» · ИНН 7728192413 · редакция 28 октября 2026 года</w:t>
      </w:r>
    </w:p>
    <w:p>
      <w:pPr>
        <w:keepLines/>
      </w:pPr>
      <w:r>
        <w:t>Участник вправе принять его, предложить изменения либо собственный полный договор со всеми приложениями и таблицей отличий по разделу 5 формы заявки. Обязательные требования установлены разделом 4 Извещения и порядка. Оцененная редакция фиксируется до выбора победителя; подписывается после назначения аудитора в 2027 году.</w:t>
      </w:r>
    </w:p>
    <w:p>
      <w:pPr>
        <w:keepLines/>
      </w:pPr>
      <w:r>
        <w:rPr>
          <w:b w:val="0"/>
        </w:rPr>
        <w:t>ДОГОВОР № [номер] об оказании аудиторских услуг</w:t>
      </w:r>
    </w:p>
    <w:p>
      <w:pPr>
        <w:keepLines/>
      </w:pPr>
      <w:r>
        <w:rPr>
          <w:b w:val="0"/>
        </w:rPr>
        <w:t>г. Москва                                                                 [дата] 2027 года</w:t>
      </w:r>
    </w:p>
    <w:p>
      <w:pPr>
        <w:keepLines/>
      </w:pPr>
      <w:r>
        <w:t>Общество с ограниченной ответственностью «БЭЛТИ-ГРАНД», ОГРН 1027739747122, ИНН 7728192413, в лице генерального директора Добринского Кирилла Владимировича, действующего на основании Устава, далее — Заказчик, и [полное наименование аудиторской организации], ОГРН [ ], ИНН [ ], в лице [ ], действующего на основании [ ], далее — Исполнитель, вместе — Стороны, заключили настоящий договор на основании итогового протокола открытого конкурса от [дата 2026 года] № [ ] и решения общего собрания участников Заказчика от [дата 2027 года] № [ ] о назначении аудиторской организации и определении размера оплаты ее услуг по пункту 8.4(9) Устава.</w:t>
      </w:r>
    </w:p>
    <w:p>
      <w:pPr>
        <w:pStyle w:val="Heading1"/>
      </w:pPr>
      <w:r>
        <w:t>1 Предмет договора</w:t>
      </w:r>
    </w:p>
    <w:p>
      <w:pPr>
        <w:keepLines/>
      </w:pPr>
      <w:r>
        <w:rPr>
          <w:b w:val="0"/>
        </w:rPr>
        <w:t>1.1. Исполнитель проводит обязательный аудит годовой бухгалтерской (финансовой) отчетности Заказчика за период с 1 января по 31 декабря 2027 года, составленной по правилам бухгалтерского учета Российской Федерации, и передает Заказчику аудиторское заключение. Аудит выполняется по Федеральному закону № 307-ФЗ и применимым международным стандартам аудита, введенным в действие в Российской Федерации.</w:t>
      </w:r>
    </w:p>
    <w:p>
      <w:pPr>
        <w:keepLines/>
      </w:pPr>
      <w:r>
        <w:rPr>
          <w:b w:val="0"/>
        </w:rPr>
        <w:t>1.2. Цель аудита — выражение независимого мнения о достоверности указанной отчетности во всех существенных отношениях. Исполнитель самостоятельно определяет характер, время и объем аудиторских процедур. Договор не гарантирует немодифицированное мнение и не возлагает на Исполнителя обязанность вести учет либо составлять отчетность Заказчика.</w:t>
      </w:r>
    </w:p>
    <w:p>
      <w:pPr>
        <w:keepLines/>
      </w:pPr>
      <w:r>
        <w:rPr>
          <w:b w:val="0"/>
        </w:rPr>
        <w:t>1.3. Аудит по МСФО, аудит дочерних обществ, обзорные проверки, налоговое консультирование и иные услуги в предмет договора не входят. Их включение возможно только отдельным решением Заказчика и с соблюдением требований к независимости и применимой закупочной процедуры.</w:t>
      </w:r>
    </w:p>
    <w:p>
      <w:pPr>
        <w:pStyle w:val="Heading1"/>
      </w:pPr>
      <w:r>
        <w:t>2 Право оказывать услуги и независимость</w:t>
      </w:r>
    </w:p>
    <w:p>
      <w:pPr>
        <w:keepLines/>
      </w:pPr>
      <w:r>
        <w:rPr>
          <w:b w:val="0"/>
        </w:rPr>
        <w:t>2.1. На дату подписания и весь период оказания услуг Исполнитель должен состоять в СРО аудиторов и быть включенным Банком России в реестр аудиторских организаций, оказывающих аудиторские услуги общественно значимым организациям на финансовом рынке. Назначенный руководитель аудита должен отвечать требованиям статьи 5.2 Закона № 307-ФЗ.</w:t>
      </w:r>
    </w:p>
    <w:p>
      <w:pPr>
        <w:keepLines/>
      </w:pPr>
      <w:r>
        <w:rPr>
          <w:b w:val="0"/>
        </w:rPr>
        <w:t>2.2. Исполнитель до подписания договора представляет сведения о реестровой записи, составе команды и руководителе аудита, а также письменное подтверждение независимости. Он незамедлительно, не позднее одного рабочего дня с момента получения информации, сообщает Заказчику об обстоятельствах, влияющих на право оказывать услуги, независимость, состав ключевой команды или срок завершения аудита.</w:t>
      </w:r>
    </w:p>
    <w:p>
      <w:pPr>
        <w:keepLines/>
      </w:pPr>
      <w:r>
        <w:rPr>
          <w:b w:val="0"/>
        </w:rPr>
        <w:t>2.3. Замена руководителя аудита допускается с предварительным письменным уведомлением Заказчика, с подтверждением квалификации и независимости нового руководителя. Замена не меняет цену и сроки без письменного соглашения Сторон.</w:t>
      </w:r>
    </w:p>
    <w:p>
      <w:pPr>
        <w:keepLines/>
      </w:pPr>
      <w:r>
        <w:rPr>
          <w:b w:val="0"/>
        </w:rPr>
        <w:t>2.4. При утрате Исполнителем необходимого статуса Заказчик определяет, допускает ли закон продолжение конкретного задания, и вправе принять решение о прекращении договора в порядке раздела 9. Утрата статуса вследствие действий Исполнителя сама по себе не считается непреодолимой силой.</w:t>
      </w:r>
    </w:p>
    <w:p>
      <w:pPr>
        <w:pStyle w:val="Heading1"/>
      </w:pPr>
      <w:r>
        <w:t>3 Этапы и результаты</w:t>
      </w:r>
    </w:p>
    <w:p>
      <w:pPr>
        <w:keepLines/>
      </w:pPr>
      <w:r>
        <w:t>3.1. Услуги оказываются по приложению 1: предварительные процедуры — сентябрь–ноябрь 2027 года; годовой аудит — январь–март 2028 года. Итоговые результаты передаются не позднее 31.03.2028. Заказчик передает полный комплект отчетности и согласованные документы до 01.03.2028. Изменение графика допускается письменно в случаях и пределах, предусмотренных условиями конкурса и законом.</w:t>
      </w:r>
    </w:p>
    <w:p>
      <w:pPr>
        <w:keepLines/>
      </w:pPr>
      <w:r>
        <w:rPr>
          <w:b w:val="0"/>
        </w:rPr>
        <w:t>3.2. Результат этапа 1 — письменное сообщение о проведенных предварительных процедурах, выявленных вопросах и запрошенных исправлениях или дополнительных сведениях. Оно не является аудиторским заключением и не предопределяет мнение по итогам года.</w:t>
      </w:r>
    </w:p>
    <w:p>
      <w:pPr>
        <w:keepLines/>
      </w:pPr>
      <w:r>
        <w:rPr>
          <w:b w:val="0"/>
        </w:rPr>
        <w:t>3.3. Результат этапа 2 — аудиторское заключение в форме и составе, предусмотренных применимыми стандартами, и письменная информация руководству о значимых вопросах аудита, включая выявленные существенные недостатки внутреннего контроля в объеме, требуемом стандартами. Исполнитель передает подписанные электронные оригиналы через ЭДО либо бумажные оригиналы по согласованному способу.</w:t>
      </w:r>
    </w:p>
    <w:p>
      <w:pPr>
        <w:keepLines/>
      </w:pPr>
      <w:r>
        <w:rPr>
          <w:b w:val="0"/>
        </w:rPr>
        <w:t>3.4. Исполнитель заранее направляет перечень документов и график взаимодействия. Существенные вопросы, способные повлиять на мнение, срок или раскрытие отчетности, обсуждаются с Заказчиком без ожидания финального этапа.</w:t>
      </w:r>
    </w:p>
    <w:p>
      <w:pPr>
        <w:keepLines/>
      </w:pPr>
      <w:r>
        <w:rPr>
          <w:b w:val="0"/>
        </w:rPr>
        <w:t>3.5. Руководитель, команда, контрольные даты, сроки ответов и порядок взаимодействия, предложенные в победившей заявке и отраженные в приложении 3, обязательны для Исполнителя. Существенное изменение этих условий предварительно согласуется письменно и не должно ухудшать оцененные условия победившей заявки без документированного основания.</w:t>
      </w:r>
    </w:p>
    <w:p>
      <w:pPr>
        <w:pStyle w:val="Heading1"/>
      </w:pPr>
      <w:r>
        <w:t>4 Обязанности Заказчика</w:t>
      </w:r>
    </w:p>
    <w:p>
      <w:pPr>
        <w:keepLines/>
      </w:pPr>
      <w:r>
        <w:rPr>
          <w:b w:val="0"/>
        </w:rPr>
        <w:t>4.1. Заказчик отвечает за составление и представление отчетности, бухгалтерский учет, внутренний контроль и достоверность предоставленных сведений; предоставляет Исполнителю доступ к документам, персоналу и объектам, необходимым для аудита, в согласованные сроки.</w:t>
      </w:r>
    </w:p>
    <w:p>
      <w:pPr>
        <w:keepLines/>
      </w:pPr>
      <w:r>
        <w:rPr>
          <w:b w:val="0"/>
        </w:rPr>
        <w:t>4.2. Заказчик вправе получать сведения о ходе работ, составе команды, основаниях существенных замечаний и письменные запросы. Такое взаимодействие не означает вмешательства в профессиональное суждение аудитора.</w:t>
      </w:r>
    </w:p>
    <w:p>
      <w:pPr>
        <w:keepLines/>
      </w:pPr>
      <w:r>
        <w:rPr>
          <w:b w:val="0"/>
        </w:rPr>
        <w:t>4.3. Если Заказчик задерживает согласованные документы, Исполнитель письменно указывает конкретный перечень недостающих материалов и влияние задержки на календарный план. Новые сроки устанавливаются дополнительным соглашением с учетом обязательных сроков раскрытия отчетности.</w:t>
      </w:r>
    </w:p>
    <w:p>
      <w:pPr>
        <w:pStyle w:val="Heading1"/>
      </w:pPr>
      <w:r>
        <w:t>5 Цена и расчеты</w:t>
      </w:r>
    </w:p>
    <w:p>
      <w:pPr>
        <w:keepLines/>
      </w:pPr>
      <w:r>
        <w:t>5.1. Общая фиксированная цена договора составляет [сумма] руб., включая [НДС по ставке и сумме / без НДС с указанием основания]. Цена включает все расходы Исполнителя, необходимые для выполнения предмета договора, в том числе командировки, связь и передачу результатов. Изменение налогового статуса Исполнителя само по себе не увеличивает согласованную общую цену. Предельная полная цена по условиям конкурса — 1 000 000 рублей; согласованная цена переносится из победившей заявки.</w:t>
      </w:r>
    </w:p>
    <w:p>
      <w:pPr>
        <w:keepLines/>
      </w:pPr>
      <w:r>
        <w:rPr>
          <w:b w:val="0"/>
        </w:rPr>
        <w:t>5.2. Распределение цены по этапам и график платежей определяются в приложении 1 на основании победившей заявки. Исполнитель предлагает график при подаче заявки, включая аванс (при наличии), промежуточные и окончательный платежи, их суммы, доли, основания и сроки. Обязательное соотношение 30/70 и запрет аванса не установлены. При подписании договора поля заполняются по оцененному предложению без ухудшения условий для Заказчика. Общая сумма платежей равна цене договора; аванс засчитывается в оплату соответствующих этапов, повторно не начисляется. Счет и обязательные платежные документы предоставляются до наступления срока платежа; при их задержке срок исчисляется не ранее их получения.</w:t>
      </w:r>
    </w:p>
    <w:p>
      <w:pPr>
        <w:keepLines/>
      </w:pPr>
      <w:r>
        <w:rPr>
          <w:b w:val="0"/>
        </w:rPr>
        <w:t>5.3. Дополнительные услуги, часы либо расходы оплачиваются только по предварительному письменному дополнительному соглашению с определенными предметом, предельной ценой и сроками и соблюдением применимого порядка выбора исполнителя. Изменение размера оплаты, установленного общим собранием участников Заказчика, предварительно утверждается этим собранием. Односторонний учет часов Исполнителя не создает у Заказчика обязанности оплатить их.</w:t>
      </w:r>
    </w:p>
    <w:p>
      <w:pPr>
        <w:pStyle w:val="Heading1"/>
      </w:pPr>
      <w:r>
        <w:t>6 Передача и приемка результатов</w:t>
      </w:r>
    </w:p>
    <w:p>
      <w:pPr>
        <w:keepLines/>
      </w:pPr>
      <w:r>
        <w:rPr>
          <w:b w:val="0"/>
        </w:rPr>
        <w:t>6.1. После завершения этапа Исполнитель передает результат, предусмотренный разделом 3 и приложением 1, и акт оказанных услуг. Заказчик в течение [10] рабочих дней подписывает акт либо направляет мотивированные письменные замечания с указанием несоответствия договору. Неполучение ответа не означает приемку.</w:t>
      </w:r>
    </w:p>
    <w:p>
      <w:pPr>
        <w:keepLines/>
      </w:pPr>
      <w:r>
        <w:rPr>
          <w:b w:val="0"/>
        </w:rPr>
        <w:t>6.2. Исполнитель в течение [5] рабочих дней устраняет недостатки оформления или комплектности результата, относящиеся к его обязательствам, и повторно передает документы. Договорная приемка не дает Заказчику права требовать определенного аудиторского мнения или изменения профессионального суждения Исполнителя.</w:t>
      </w:r>
    </w:p>
    <w:p>
      <w:pPr>
        <w:keepLines/>
      </w:pPr>
      <w:r>
        <w:rPr>
          <w:b w:val="0"/>
        </w:rPr>
        <w:t>6.3. Если к моменту прекращения договора этап не завершен, Стороны составляют двусторонний акт о фактически оказанных услугах и переданных результатах. Исполнитель представляет расчет и подтверждающие документы; спорная сумма не считается принятой автоматически.</w:t>
      </w:r>
    </w:p>
    <w:p>
      <w:pPr>
        <w:pStyle w:val="Heading1"/>
      </w:pPr>
      <w:r>
        <w:t>7 Конфиденциальность и раскрытие</w:t>
      </w:r>
    </w:p>
    <w:p>
      <w:pPr>
        <w:keepLines/>
      </w:pPr>
      <w:r>
        <w:rPr>
          <w:b w:val="0"/>
        </w:rPr>
        <w:t>7.1. Исполнитель соблюдает аудиторскую тайну, требования о коммерческой тайне и персональных данных. Доступ к сведениям предоставляется только лицам, участвующим в задании или в обязательном контроле качества, в пределах закона и с необходимыми мерами защиты.</w:t>
      </w:r>
    </w:p>
    <w:p>
      <w:pPr>
        <w:keepLines/>
      </w:pPr>
      <w:r>
        <w:rPr>
          <w:b w:val="0"/>
        </w:rPr>
        <w:t>7.2. Заказчик вправе раскрывать аудиторское заключение вместе с относящейся к нему отчетностью в случаях и сроки, предусмотренные законом и правилами раскрытия информации эмитентами, без дополнительного разрешения Исполнителя. При публикации документа с иной информацией Стороны взаимодействуют в объеме, предусмотренном применимыми стандартами аудита; это не приостанавливает обязательное раскрытие.</w:t>
      </w:r>
    </w:p>
    <w:p>
      <w:pPr>
        <w:keepLines/>
      </w:pPr>
      <w:r>
        <w:rPr>
          <w:b w:val="0"/>
        </w:rPr>
        <w:t>7.3. Передача данных третьим лицам, в том числе участникам аудиторской сети, осуществляется лишь при наличии законного основания и с соблюдением аудиторской тайны и законодательства о персональных данных. Трансграничная передача требует отдельной проверки правовых оснований и предварительного письменного согласования с Заказчиком, когда оно требуется законом или договором.</w:t>
      </w:r>
    </w:p>
    <w:p>
      <w:pPr>
        <w:pStyle w:val="Heading1"/>
      </w:pPr>
      <w:r>
        <w:t>8 Ответственность</w:t>
      </w:r>
    </w:p>
    <w:p>
      <w:pPr>
        <w:keepLines/>
      </w:pPr>
      <w:r>
        <w:rPr>
          <w:b w:val="0"/>
        </w:rPr>
        <w:t>8.1. Стороны отвечают за нарушение договора по законодательству Российской Федерации. Исполнитель отвечает за надлежащее выполнение аудита и соблюдение профессиональных требований; Заказчик — за отчетность и достоверность предоставленных данных. Наличие налоговых претензий само по себе не доказывает нарушение Исполнителем договора.</w:t>
      </w:r>
    </w:p>
    <w:p>
      <w:pPr>
        <w:keepLines/>
      </w:pPr>
      <w:r>
        <w:rPr>
          <w:b w:val="0"/>
        </w:rPr>
        <w:t>8.2. При просрочке передачи результата по вине Исполнителя Заказчик вправе требовать неустойку [0,05%] цены просроченного этапа за каждый день, но не более [10%] его цены. При просрочке предусмотренного приложением 1 платежа по вине Заказчика Исполнитель вправе требовать [0,05%] просроченной суммы за каждый день, но не более [10%] этой суммы. Неустойка не освобождает от исполнения обязательств и не ограничивает взыскание убытков в пределах закона.</w:t>
      </w:r>
    </w:p>
    <w:p>
      <w:pPr>
        <w:keepLines/>
      </w:pPr>
      <w:r>
        <w:rPr>
          <w:b w:val="0"/>
        </w:rPr>
        <w:t>8.3. Договор не устанавливает заранее общего ограничения ответственности Исполнителя суммой вознаграждения и не исключает ответственность за нарушение аудиторской тайны, умысел или грубую неосторожность. Причинение, размер и связь убытков с нарушением доказываются по закону.</w:t>
      </w:r>
    </w:p>
    <w:p>
      <w:pPr>
        <w:pStyle w:val="Heading1"/>
      </w:pPr>
      <w:r>
        <w:t>9 Прекращение договора</w:t>
      </w:r>
    </w:p>
    <w:p>
      <w:pPr>
        <w:keepLines/>
      </w:pPr>
      <w:r>
        <w:rPr>
          <w:b w:val="0"/>
        </w:rPr>
        <w:t>9.1. Заказчик вправе отказаться от исполнения договора в соответствии со статьей 782 ГК РФ при оплате фактически понесенных Исполнителем расходов в пределах, подлежащих возмещению по закону, с учетом уже принятых и оплаченных услуг. Исполнитель документально подтверждает расходы и не включает в них неполученную прибыль.</w:t>
      </w:r>
    </w:p>
    <w:p>
      <w:pPr>
        <w:keepLines/>
      </w:pPr>
      <w:r>
        <w:rPr>
          <w:b w:val="0"/>
        </w:rPr>
        <w:t>9.2. Исполнитель вправе отказаться от исполнения договора в случаях и на условиях статьи 782 ГК РФ, включая полное возмещение Заказчику убытков, подлежащих возмещению по закону. Отказ и его основания сообщаются письменно.</w:t>
      </w:r>
    </w:p>
    <w:p>
      <w:pPr>
        <w:keepLines/>
      </w:pPr>
      <w:r>
        <w:rPr>
          <w:b w:val="0"/>
        </w:rPr>
        <w:t>9.3. При утрате права оказывать услуги ОЗОФР, нарушении независимости или иных обстоятельствах, делающих законное завершение аудита невозможным, Заказчик вправе прекратить договор. Исполнитель передает Заказчику все полученные от него документы и результаты, которые могут быть переданы по закону, и в течение [10] рабочих дней возвращает неотработанную часть полученных средств. Спор о расчете не препятствует возврату бесспорной части.</w:t>
      </w:r>
    </w:p>
    <w:p>
      <w:pPr>
        <w:keepLines/>
      </w:pPr>
      <w:r>
        <w:rPr>
          <w:b w:val="0"/>
        </w:rPr>
        <w:t>9.4. Если закон допускает завершение уже начатого задания после изменения реестрового статуса Исполнителя, Заказчик отдельно письменно решает вопрос о продолжении договора с учетом причин изменения статуса, независимости, сроков и интересов Заказчика.</w:t>
      </w:r>
    </w:p>
    <w:p>
      <w:pPr>
        <w:pStyle w:val="Heading1"/>
      </w:pPr>
      <w:r>
        <w:t>10 Непреодолимая сила</w:t>
      </w:r>
    </w:p>
    <w:p>
      <w:pPr>
        <w:keepLines/>
      </w:pPr>
      <w:r>
        <w:rPr>
          <w:b w:val="0"/>
        </w:rPr>
        <w:t>10.1. Сторона освобождается от ответственности за нарушение, вызванное чрезвычайными и непредотвратимыми при данных условиях обстоятельствами, если докажет их влияние на исполнение и уведомит другую Сторону не позднее [5] рабочих дней. Недостаток персонала, изменение стоимости услуг и утрата статуса вследствие нарушений Исполнителя не относятся сами по себе к таким обстоятельствам.</w:t>
      </w:r>
    </w:p>
    <w:p>
      <w:pPr>
        <w:pStyle w:val="Heading1"/>
      </w:pPr>
      <w:r>
        <w:t>11 Обмен документами и споры</w:t>
      </w:r>
    </w:p>
    <w:p>
      <w:pPr>
        <w:keepLines/>
      </w:pPr>
      <w:r>
        <w:rPr>
          <w:b w:val="0"/>
        </w:rPr>
        <w:t>11.1. Юридически значимые сообщения направляются через согласованного оператора ЭДО с квалифицированной электронной подписью либо заказным письмом по реквизитам Сторон. Рабочие запросы допускается направлять с корпоративных адресов электронной почты, указанных в приложении 2. Изменение адреса сообщается письменно.</w:t>
      </w:r>
    </w:p>
    <w:p>
      <w:pPr>
        <w:keepLines/>
      </w:pPr>
      <w:r>
        <w:rPr>
          <w:b w:val="0"/>
        </w:rPr>
        <w:t>11.2. Разногласия Стороны сначала обсуждают в течение [15] рабочих дней с даты получения письменной претензии. Неурегулированный спор рассматривается арбитражным судом по правилам подсудности Российской Федерации.</w:t>
      </w:r>
    </w:p>
    <w:p>
      <w:pPr>
        <w:pStyle w:val="Heading1"/>
      </w:pPr>
      <w:r>
        <w:t>12 Заключительные положения</w:t>
      </w:r>
    </w:p>
    <w:p>
      <w:pPr>
        <w:keepLines/>
      </w:pPr>
      <w:r>
        <w:rPr>
          <w:b w:val="0"/>
        </w:rPr>
        <w:t>12.1. Договор вступает в силу после подписания уполномоченными представителями Сторон при наличии решения общего собрания участников Заказчика о назначении Исполнителя аудиторской организацией за 2027 год и размере оплаты и действует до полного исполнения обязательств. Договор составляется в двух экземплярах либо подписывается в ЭДО.</w:t>
      </w:r>
    </w:p>
    <w:p>
      <w:pPr>
        <w:keepLines/>
      </w:pPr>
      <w:r>
        <w:rPr>
          <w:b w:val="0"/>
        </w:rPr>
        <w:t>12.2. Приложения 1, 2 и 3 являются частью договора. Изменения оформляются письменно с учетом полномочий общего собрания участников Заказчика. При противоречии приложения условиям основного текста применяется основной текст, если дополнительное соглашение прямо не устанавливает иное.</w:t>
      </w:r>
    </w:p>
    <w:p>
      <w:pPr>
        <w:pStyle w:val="Heading1"/>
      </w:pPr>
      <w:r>
        <w:t>13 Реквизиты и подписи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91"/>
        <w:gridCol w:w="4791"/>
      </w:tblGrid>
      <w:tr>
        <w:trPr>
          <w:cantSplit/>
          <w:tblHeader/>
        </w:trPr>
        <w:tc>
          <w:tcPr>
            <w:tcW w:type="dxa" w:w="453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9EE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0" w:line="259" w:lineRule="auto"/>
            </w:pPr>
            <w:r>
              <w:rPr>
                <w:rFonts w:ascii="Arial" w:hAnsi="Arial"/>
                <w:sz w:val="17"/>
              </w:rPr>
              <w:t>Заказчик</w:t>
            </w:r>
          </w:p>
        </w:tc>
        <w:tc>
          <w:tcPr>
            <w:tcW w:type="dxa" w:w="453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9EE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0" w:line="259" w:lineRule="auto"/>
            </w:pPr>
            <w:r>
              <w:rPr>
                <w:rFonts w:ascii="Arial" w:hAnsi="Arial"/>
                <w:sz w:val="17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453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ООО «БЭЛТИ-ГРАНД»</w:t>
              <w:br/>
              <w:t>ОГРН 1027739747122</w:t>
              <w:br/>
              <w:t>ИНН 7728192413</w:t>
              <w:br/>
              <w:t>Адрес: 117593, Москва, Литовский б-р, д. 9/7</w:t>
              <w:br/>
              <w:t>Банковские реквизиты: [ ]</w:t>
              <w:br/>
              <w:t>Подписант: К.В. Добринский</w:t>
            </w:r>
          </w:p>
        </w:tc>
        <w:tc>
          <w:tcPr>
            <w:tcW w:type="dxa" w:w="4535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[полное наименование]</w:t>
              <w:br/>
              <w:t>ОГРН [ ] · ИНН [ ]</w:t>
              <w:br/>
              <w:t>Адрес по ЕГРЮЛ: [ ]</w:t>
              <w:br/>
              <w:t>Реестр Банка России: [ ]</w:t>
              <w:br/>
              <w:t>Банковские реквизиты: [ ]</w:t>
              <w:br/>
              <w:t>Подписант: [ ]</w:t>
            </w:r>
          </w:p>
        </w:tc>
      </w:tr>
    </w:tbl>
    <w:p>
      <w:pPr>
        <w:pStyle w:val="Heading1"/>
        <w:pageBreakBefore/>
      </w:pPr>
      <w:r>
        <w:t>Приложение 1 Календарный план, результаты и оплата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95"/>
        <w:gridCol w:w="2395"/>
        <w:gridCol w:w="2395"/>
        <w:gridCol w:w="2395"/>
      </w:tblGrid>
      <w:tr>
        <w:trPr>
          <w:cantSplit/>
          <w:tblHeader/>
        </w:trPr>
        <w:tc>
          <w:tcPr>
            <w:tcW w:type="dxa" w:w="170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9EE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0" w:line="259" w:lineRule="auto"/>
            </w:pPr>
            <w:r>
              <w:rPr>
                <w:rFonts w:ascii="Arial" w:hAnsi="Arial"/>
                <w:sz w:val="17"/>
              </w:rPr>
              <w:t>Этап</w:t>
            </w:r>
          </w:p>
        </w:tc>
        <w:tc>
          <w:tcPr>
            <w:tcW w:type="dxa" w:w="22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9EE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0" w:line="259" w:lineRule="auto"/>
            </w:pPr>
            <w:r>
              <w:rPr>
                <w:rFonts w:ascii="Arial" w:hAnsi="Arial"/>
                <w:sz w:val="17"/>
              </w:rPr>
              <w:t>Предлагаемый срок</w:t>
            </w:r>
          </w:p>
        </w:tc>
        <w:tc>
          <w:tcPr>
            <w:tcW w:type="dxa" w:w="3969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9EE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0" w:line="259" w:lineRule="auto"/>
            </w:pPr>
            <w:r>
              <w:rPr>
                <w:rFonts w:ascii="Arial" w:hAnsi="Arial"/>
                <w:sz w:val="17"/>
              </w:rPr>
              <w:t>Результат</w:t>
            </w:r>
          </w:p>
        </w:tc>
        <w:tc>
          <w:tcPr>
            <w:tcW w:type="dxa" w:w="113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9EE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0" w:line="259" w:lineRule="auto"/>
            </w:pPr>
            <w:r>
              <w:rPr>
                <w:rFonts w:ascii="Arial" w:hAnsi="Arial"/>
                <w:sz w:val="17"/>
              </w:rPr>
              <w:t>Доля цены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1 Предварительные процедуры</w:t>
            </w:r>
          </w:p>
        </w:tc>
        <w:tc>
          <w:tcPr>
            <w:tcW w:type="dxa" w:w="22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[сентябрь — ноябрь 2027 года]</w:t>
            </w:r>
          </w:p>
        </w:tc>
        <w:tc>
          <w:tcPr>
            <w:tcW w:type="dxa" w:w="3969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Письменное сообщение о ходе работ и вопросах к годовой отчетности; акт этапа 1</w:t>
            </w:r>
          </w:p>
        </w:tc>
        <w:tc>
          <w:tcPr>
            <w:tcW w:type="dxa" w:w="113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[из заявки]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2 Годовой аудит</w:t>
            </w:r>
          </w:p>
        </w:tc>
        <w:tc>
          <w:tcPr>
            <w:tcW w:type="dxa" w:w="22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Январь–март 2028 года; не позднее 31.03.2028</w:t>
            </w:r>
          </w:p>
        </w:tc>
        <w:tc>
          <w:tcPr>
            <w:tcW w:type="dxa" w:w="3969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Аудиторское заключение за 2027 год; письменная информация руководству; акт этапа 2</w:t>
            </w:r>
          </w:p>
        </w:tc>
        <w:tc>
          <w:tcPr>
            <w:tcW w:type="dxa" w:w="113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[из заявки]</w:t>
            </w:r>
          </w:p>
        </w:tc>
      </w:tr>
    </w:tbl>
    <w:p>
      <w:pPr>
        <w:keepLines/>
      </w:pPr>
      <w:r>
        <w:rPr>
          <w:b w:val="0"/>
        </w:rPr>
        <w:t>Срок выдачи заключения согласовать с обязательным сроком раскрытия отчетности эмитента и фактическим графиком закрытия года. Промежуточные рабочие материалы не являются самостоятельным аудиторским заключением.</w:t>
      </w:r>
    </w:p>
    <w:p>
      <w:pPr>
        <w:pStyle w:val="Heading2"/>
      </w:pPr>
      <w:r>
        <w:t>График платежей по победившей заявке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95"/>
        <w:gridCol w:w="2395"/>
        <w:gridCol w:w="2395"/>
        <w:gridCol w:w="2395"/>
      </w:tblGrid>
      <w:tr>
        <w:trPr>
          <w:cantSplit/>
          <w:tblHeader/>
        </w:trPr>
        <w:tc>
          <w:tcPr>
            <w:tcW w:type="dxa" w:w="19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9EE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0" w:line="259" w:lineRule="auto"/>
            </w:pPr>
            <w:r>
              <w:rPr>
                <w:rFonts w:ascii="Arial" w:hAnsi="Arial"/>
                <w:sz w:val="17"/>
              </w:rPr>
              <w:t>Платеж</w:t>
            </w:r>
          </w:p>
        </w:tc>
        <w:tc>
          <w:tcPr>
            <w:tcW w:type="dxa" w:w="170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9EE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0" w:line="259" w:lineRule="auto"/>
            </w:pPr>
            <w:r>
              <w:rPr>
                <w:rFonts w:ascii="Arial" w:hAnsi="Arial"/>
                <w:sz w:val="17"/>
              </w:rPr>
              <w:t>Сумма / доля</w:t>
            </w:r>
          </w:p>
        </w:tc>
        <w:tc>
          <w:tcPr>
            <w:tcW w:type="dxa" w:w="36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9EE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0" w:line="259" w:lineRule="auto"/>
            </w:pPr>
            <w:r>
              <w:rPr>
                <w:rFonts w:ascii="Arial" w:hAnsi="Arial"/>
                <w:sz w:val="17"/>
              </w:rPr>
              <w:t>Основание и срок</w:t>
            </w:r>
          </w:p>
        </w:tc>
        <w:tc>
          <w:tcPr>
            <w:tcW w:type="dxa" w:w="181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9EE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0" w:line="259" w:lineRule="auto"/>
            </w:pPr>
            <w:r>
              <w:rPr>
                <w:rFonts w:ascii="Arial" w:hAnsi="Arial"/>
                <w:sz w:val="17"/>
              </w:rPr>
              <w:t>Зачет аванса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Аванс (если предложен)</w:t>
            </w:r>
          </w:p>
        </w:tc>
        <w:tc>
          <w:tcPr>
            <w:tcW w:type="dxa" w:w="170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[руб.; % либо 0]</w:t>
            </w:r>
          </w:p>
        </w:tc>
        <w:tc>
          <w:tcPr>
            <w:tcW w:type="dxa" w:w="36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[событие; число рабочих дней]</w:t>
            </w:r>
          </w:p>
        </w:tc>
        <w:tc>
          <w:tcPr>
            <w:tcW w:type="dxa" w:w="181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[в счет какого этапа]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Промежуточный платеж</w:t>
            </w:r>
          </w:p>
        </w:tc>
        <w:tc>
          <w:tcPr>
            <w:tcW w:type="dxa" w:w="170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[руб.; % либо 0]</w:t>
            </w:r>
          </w:p>
        </w:tc>
        <w:tc>
          <w:tcPr>
            <w:tcW w:type="dxa" w:w="36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[событие; число рабочих дней]</w:t>
            </w:r>
          </w:p>
        </w:tc>
        <w:tc>
          <w:tcPr>
            <w:tcW w:type="dxa" w:w="181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[сумма зачета; остаток к оплате]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Окончательный платеж</w:t>
            </w:r>
          </w:p>
        </w:tc>
        <w:tc>
          <w:tcPr>
            <w:tcW w:type="dxa" w:w="170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[руб.; %]</w:t>
            </w:r>
          </w:p>
        </w:tc>
        <w:tc>
          <w:tcPr>
            <w:tcW w:type="dxa" w:w="36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[событие; число рабочих дней]</w:t>
            </w:r>
          </w:p>
        </w:tc>
        <w:tc>
          <w:tcPr>
            <w:tcW w:type="dxa" w:w="181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[сумма зачета; остаток к оплате]</w:t>
            </w:r>
          </w:p>
        </w:tc>
      </w:tr>
    </w:tbl>
    <w:p>
      <w:pPr>
        <w:keepLines/>
      </w:pPr>
      <w:r>
        <w:rPr>
          <w:b w:val="0"/>
        </w:rPr>
        <w:t>При необходимости строки добавляются по заявке. В графике указываются суммы фактических перечислений; их итог составляет 100% цены. Распределение цены по этапам в первой таблице не создает дополнительных платежей. Зафиксировать долю цены, оплачиваемую после передачи и приемки окончательного результата: [ ]%.</w:t>
      </w:r>
    </w:p>
    <w:p>
      <w:pPr>
        <w:pStyle w:val="Heading1"/>
      </w:pPr>
      <w:r>
        <w:t>Приложение 2 Контакты и обмен информацией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94"/>
        <w:gridCol w:w="3194"/>
        <w:gridCol w:w="3194"/>
      </w:tblGrid>
      <w:tr>
        <w:trPr>
          <w:cantSplit/>
          <w:tblHeader/>
        </w:trPr>
        <w:tc>
          <w:tcPr>
            <w:tcW w:type="dxa" w:w="215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9EE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0" w:line="259" w:lineRule="auto"/>
            </w:pPr>
            <w:r>
              <w:rPr>
                <w:rFonts w:ascii="Arial" w:hAnsi="Arial"/>
                <w:sz w:val="17"/>
              </w:rPr>
              <w:t>Вопрос</w:t>
            </w:r>
          </w:p>
        </w:tc>
        <w:tc>
          <w:tcPr>
            <w:tcW w:type="dxa" w:w="34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9EE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0" w:line="259" w:lineRule="auto"/>
            </w:pPr>
            <w:r>
              <w:rPr>
                <w:rFonts w:ascii="Arial" w:hAnsi="Arial"/>
                <w:sz w:val="17"/>
              </w:rPr>
              <w:t>Заказчик</w:t>
            </w:r>
          </w:p>
        </w:tc>
        <w:tc>
          <w:tcPr>
            <w:tcW w:type="dxa" w:w="34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9EE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0" w:line="259" w:lineRule="auto"/>
            </w:pPr>
            <w:r>
              <w:rPr>
                <w:rFonts w:ascii="Arial" w:hAnsi="Arial"/>
                <w:sz w:val="17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Координатор и рабочая почта</w:t>
            </w:r>
          </w:p>
        </w:tc>
        <w:tc>
          <w:tcPr>
            <w:tcW w:type="dxa" w:w="34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[ФИО, должность, корпоративная почта]</w:t>
            </w:r>
          </w:p>
        </w:tc>
        <w:tc>
          <w:tcPr>
            <w:tcW w:type="dxa" w:w="34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[ФИО, должность, корпоративная почта]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Юридически значимые документы</w:t>
            </w:r>
          </w:p>
        </w:tc>
        <w:tc>
          <w:tcPr>
            <w:tcW w:type="dxa" w:w="34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[оператор ЭДО, идентификатор]</w:t>
            </w:r>
          </w:p>
        </w:tc>
        <w:tc>
          <w:tcPr>
            <w:tcW w:type="dxa" w:w="34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[оператор ЭДО, идентификатор]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Адрес для заказных писем</w:t>
            </w:r>
          </w:p>
        </w:tc>
        <w:tc>
          <w:tcPr>
            <w:tcW w:type="dxa" w:w="34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[адрес]</w:t>
            </w:r>
          </w:p>
        </w:tc>
        <w:tc>
          <w:tcPr>
            <w:tcW w:type="dxa" w:w="345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[адрес]</w:t>
            </w:r>
          </w:p>
        </w:tc>
      </w:tr>
    </w:tbl>
    <w:p>
      <w:pPr>
        <w:keepLines/>
      </w:pPr>
      <w:r>
        <w:rPr>
          <w:b w:val="0"/>
        </w:rPr>
        <w:t>Конкретный перечень первичных документов и запросов аудитор формирует самостоятельно и передает координатору Заказчика по согласованному защищенному каналу. Стороны фиксируют факт передачи документов и дату получения.</w:t>
      </w:r>
    </w:p>
    <w:p>
      <w:pPr>
        <w:pStyle w:val="Heading1"/>
        <w:pageBreakBefore/>
      </w:pPr>
      <w:r>
        <w:t>Приложение 3 Обязательства из победившей заявки</w:t>
      </w:r>
    </w:p>
    <w:p>
      <w:pPr>
        <w:keepLines/>
      </w:pPr>
      <w:r>
        <w:rPr>
          <w:b w:val="0"/>
        </w:rPr>
        <w:t>Заполняется при подписании договора по победившей заявке; обещания, за которые участник получил баллы, включаются без ухудшения. Само приложение с незаполненными полями публикуется в составе проекта договора.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91"/>
        <w:gridCol w:w="4791"/>
      </w:tblGrid>
      <w:tr>
        <w:trPr>
          <w:cantSplit/>
          <w:tblHeader/>
        </w:trPr>
        <w:tc>
          <w:tcPr>
            <w:tcW w:type="dxa" w:w="323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9EE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0" w:line="259" w:lineRule="auto"/>
            </w:pPr>
            <w:r>
              <w:rPr>
                <w:rFonts w:ascii="Arial" w:hAnsi="Arial"/>
                <w:sz w:val="17"/>
              </w:rPr>
              <w:t>Условие</w:t>
            </w:r>
          </w:p>
        </w:tc>
        <w:tc>
          <w:tcPr>
            <w:tcW w:type="dxa" w:w="5839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9EE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0" w:line="259" w:lineRule="auto"/>
            </w:pPr>
            <w:r>
              <w:rPr>
                <w:rFonts w:ascii="Arial" w:hAnsi="Arial"/>
                <w:sz w:val="17"/>
              </w:rPr>
              <w:t>Согласованное обязательство</w:t>
            </w:r>
          </w:p>
        </w:tc>
      </w:tr>
      <w:tr>
        <w:trPr>
          <w:cantSplit/>
        </w:trPr>
        <w:tc>
          <w:tcPr>
            <w:tcW w:type="dxa" w:w="323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Руководитель и ключевая команда</w:t>
            </w:r>
          </w:p>
        </w:tc>
        <w:tc>
          <w:tcPr>
            <w:tcW w:type="dxa" w:w="5839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[ФИО, роли, загрузка; порядок замены]</w:t>
            </w:r>
          </w:p>
        </w:tc>
      </w:tr>
      <w:tr>
        <w:trPr>
          <w:cantSplit/>
        </w:trPr>
        <w:tc>
          <w:tcPr>
            <w:tcW w:type="dxa" w:w="323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Координатор и сроки ответа</w:t>
            </w:r>
          </w:p>
        </w:tc>
        <w:tc>
          <w:tcPr>
            <w:tcW w:type="dxa" w:w="5839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[контакт, канал, конкретный срок первичного и содержательного ответа]</w:t>
            </w:r>
          </w:p>
        </w:tc>
      </w:tr>
      <w:tr>
        <w:trPr>
          <w:cantSplit/>
        </w:trPr>
        <w:tc>
          <w:tcPr>
            <w:tcW w:type="dxa" w:w="323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Запрос документов и обсуждение замечаний</w:t>
            </w:r>
          </w:p>
        </w:tc>
        <w:tc>
          <w:tcPr>
            <w:tcW w:type="dxa" w:w="5839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[срок направления перечня, периодичность статуса, порядок обсуждения и передачи вопроса руководителю]</w:t>
            </w:r>
          </w:p>
        </w:tc>
      </w:tr>
      <w:tr>
        <w:trPr>
          <w:cantSplit/>
        </w:trPr>
        <w:tc>
          <w:tcPr>
            <w:tcW w:type="dxa" w:w="323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Контрольные даты и ресурсы</w:t>
            </w:r>
          </w:p>
        </w:tc>
        <w:tc>
          <w:tcPr>
            <w:tcW w:type="dxa" w:w="5839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[ссылка на календарный план, резерв на замену и завершение]</w:t>
            </w:r>
          </w:p>
        </w:tc>
      </w:tr>
      <w:tr>
        <w:trPr>
          <w:cantSplit/>
        </w:trPr>
        <w:tc>
          <w:tcPr>
            <w:tcW w:type="dxa" w:w="323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Объем и дополнительные платежи</w:t>
            </w:r>
          </w:p>
        </w:tc>
        <w:tc>
          <w:tcPr>
            <w:tcW w:type="dxa" w:w="5839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sz w:val="17"/>
              </w:rPr>
              <w:t>[что входит в фиксированную цену; исчерпывающие согласованные основания отдельных работ с учетом пункта 5.3]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77" w:right="1020" w:bottom="1020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646464"/>
        <w:sz w:val="16"/>
      </w:rPr>
      <w:t xml:space="preserve">ООО «БЭЛТИ-ГРАНД»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1" w:lineRule="auto"/>
    </w:pPr>
    <w:rPr>
      <w:rFonts w:ascii="Arial" w:hAnsi="Arial" w:eastAsia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2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Arial" w:hAnsi="Arial" w:eastAsia="Arial"/>
      <w:i/>
      <w:iCs/>
      <w:color w:val="000000"/>
      <w:spacing w:val="15"/>
      <w:sz w:val="19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на аудит за 2027 год</dc:title>
  <dc:subject/>
  <dc:creator>ООО «БЭЛТИ-ГРАНД»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